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jc w:val="both"/>
        <w:rPr>
          <w:rFonts w:ascii="仿宋" w:hAnsi="仿宋" w:eastAsia="仿宋"/>
          <w:b/>
          <w:sz w:val="40"/>
          <w:szCs w:val="40"/>
        </w:rPr>
      </w:pPr>
      <w:bookmarkStart w:id="2" w:name="_GoBack"/>
      <w:bookmarkEnd w:id="2"/>
    </w:p>
    <w:p>
      <w:pPr>
        <w:snapToGrid w:val="0"/>
        <w:spacing w:line="538" w:lineRule="atLeast"/>
        <w:jc w:val="center"/>
        <w:rPr>
          <w:rFonts w:ascii="仿宋" w:hAnsi="仿宋" w:eastAsia="仿宋"/>
          <w:b/>
          <w:sz w:val="40"/>
          <w:szCs w:val="40"/>
        </w:rPr>
      </w:pPr>
    </w:p>
    <w:p>
      <w:pPr>
        <w:snapToGrid w:val="0"/>
        <w:spacing w:line="538" w:lineRule="atLeast"/>
        <w:jc w:val="center"/>
        <w:rPr>
          <w:rFonts w:ascii="仿宋" w:hAnsi="仿宋" w:eastAsia="仿宋"/>
          <w:b/>
          <w:sz w:val="40"/>
          <w:szCs w:val="40"/>
        </w:rPr>
      </w:pPr>
      <w:bookmarkStart w:id="0" w:name="OLE_LINK3"/>
      <w:bookmarkStart w:id="1" w:name="OLE_LINK2"/>
      <w:r>
        <w:rPr>
          <w:rFonts w:hint="eastAsia" w:ascii="仿宋" w:hAnsi="仿宋" w:eastAsia="仿宋"/>
          <w:b/>
          <w:sz w:val="40"/>
          <w:szCs w:val="40"/>
        </w:rPr>
        <w:t>2016年度“四川大学-东土学术创新奖”</w:t>
      </w:r>
    </w:p>
    <w:p>
      <w:pPr>
        <w:tabs>
          <w:tab w:val="center" w:pos="4153"/>
          <w:tab w:val="left" w:pos="6092"/>
        </w:tabs>
        <w:snapToGrid w:val="0"/>
        <w:spacing w:line="538" w:lineRule="atLeast"/>
        <w:jc w:val="left"/>
        <w:rPr>
          <w:rFonts w:ascii="仿宋" w:hAnsi="仿宋" w:eastAsia="仿宋"/>
          <w:b/>
          <w:sz w:val="40"/>
          <w:szCs w:val="40"/>
        </w:rPr>
      </w:pPr>
      <w:r>
        <w:rPr>
          <w:rFonts w:ascii="仿宋" w:hAnsi="仿宋" w:eastAsia="仿宋"/>
          <w:b/>
          <w:sz w:val="40"/>
          <w:szCs w:val="40"/>
        </w:rPr>
        <w:tab/>
      </w:r>
      <w:r>
        <w:rPr>
          <w:rFonts w:hint="eastAsia" w:ascii="仿宋" w:hAnsi="仿宋" w:eastAsia="仿宋"/>
          <w:b/>
          <w:sz w:val="40"/>
          <w:szCs w:val="40"/>
        </w:rPr>
        <w:t>获奖成果名单</w:t>
      </w:r>
      <w:bookmarkEnd w:id="0"/>
      <w:r>
        <w:rPr>
          <w:rFonts w:ascii="仿宋" w:hAnsi="仿宋" w:eastAsia="仿宋"/>
          <w:b/>
          <w:sz w:val="40"/>
          <w:szCs w:val="40"/>
        </w:rPr>
        <w:tab/>
      </w:r>
    </w:p>
    <w:tbl>
      <w:tblPr>
        <w:tblStyle w:val="7"/>
        <w:tblpPr w:leftFromText="180" w:rightFromText="180" w:vertAnchor="text" w:horzAnchor="margin" w:tblpXSpec="center" w:tblpY="8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1418"/>
        <w:gridCol w:w="1275"/>
        <w:gridCol w:w="885"/>
        <w:gridCol w:w="1667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4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获奖成果名称</w:t>
            </w:r>
          </w:p>
        </w:tc>
        <w:tc>
          <w:tcPr>
            <w:tcW w:w="3578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获奖团队/获奖人</w:t>
            </w:r>
          </w:p>
        </w:tc>
        <w:tc>
          <w:tcPr>
            <w:tcW w:w="1667" w:type="dxa"/>
            <w:vMerge w:val="restart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奖励名称</w:t>
            </w:r>
          </w:p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及等级</w:t>
            </w:r>
          </w:p>
        </w:tc>
        <w:tc>
          <w:tcPr>
            <w:tcW w:w="885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单位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身份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34" w:type="dxa"/>
            <w:vMerge w:val="restart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高效无卤膨胀阻燃技术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王玉忠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工程科学与技术创新奖一等奖</w:t>
            </w:r>
          </w:p>
        </w:tc>
        <w:tc>
          <w:tcPr>
            <w:tcW w:w="885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赵国明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邓聪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分析测试中心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汪秀丽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赵泽永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博士后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534" w:type="dxa"/>
            <w:vMerge w:val="restart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湿法磷酸化学净化法生产高纯度工业级磷酸一级产业化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张志业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化工学院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工程科学与技术创新奖二等奖</w:t>
            </w:r>
          </w:p>
        </w:tc>
        <w:tc>
          <w:tcPr>
            <w:tcW w:w="885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王辛龙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化工学院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钟本和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化工学院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杨林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化工学院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杨秀山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化工学院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34" w:type="dxa"/>
            <w:vMerge w:val="restart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新型手性催化剂和高效高选择性的不对称催化新反应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冯小明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基础科学与转化医学创新奖一等奖</w:t>
            </w:r>
          </w:p>
        </w:tc>
        <w:tc>
          <w:tcPr>
            <w:tcW w:w="885" w:type="dxa"/>
            <w:vMerge w:val="restart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刘小华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李伟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学生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蔡云飞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学生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赵剑楠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化学学院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学生</w:t>
            </w:r>
          </w:p>
        </w:tc>
        <w:tc>
          <w:tcPr>
            <w:tcW w:w="1667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534" w:type="dxa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Lawson同调理论与周簇的拓扑结构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胡文传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数学学院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基础科学与转化医学创新奖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二等奖</w:t>
            </w:r>
          </w:p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534" w:type="dxa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多民族国家的文学和文化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徐新建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文学与新闻学院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哲学社会科学重大创新成果奖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40万元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34" w:type="dxa"/>
            <w:vMerge w:val="restart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984" w:type="dxa"/>
            <w:vMerge w:val="restart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直觉和犹豫模糊决策理论与方法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徐泽水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商学院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哲学社会科学重大创新成果奖</w:t>
            </w:r>
          </w:p>
        </w:tc>
        <w:tc>
          <w:tcPr>
            <w:tcW w:w="885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534" w:type="dxa"/>
            <w:vMerge w:val="continue"/>
          </w:tcPr>
          <w:p>
            <w:pPr>
              <w:jc w:val="distribute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廖虎昌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商学院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66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bookmarkEnd w:id="1"/>
    </w:tbl>
    <w:p/>
    <w:sectPr>
      <w:pgSz w:w="11906" w:h="16838"/>
      <w:pgMar w:top="1440" w:right="1797" w:bottom="156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A3"/>
    <w:rsid w:val="00126FC3"/>
    <w:rsid w:val="001E1BA1"/>
    <w:rsid w:val="002875EA"/>
    <w:rsid w:val="002F59B7"/>
    <w:rsid w:val="003F3D9C"/>
    <w:rsid w:val="00591957"/>
    <w:rsid w:val="006C6F88"/>
    <w:rsid w:val="006D1CAF"/>
    <w:rsid w:val="008C7BA3"/>
    <w:rsid w:val="008F567E"/>
    <w:rsid w:val="00BF2F12"/>
    <w:rsid w:val="00D91B7B"/>
    <w:rsid w:val="00E750BC"/>
    <w:rsid w:val="00FE1128"/>
    <w:rsid w:val="06D524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2016-09-20T07:59:00Z</dcterms:created>
  <dc:creator>PC</dc:creator>
  <cp:lastModifiedBy>adminccy</cp:lastModifiedBy>
  <cp:lastPrinted>2016-09-20T04:08:00Z</cp:lastPrinted>
  <dcterms:modified xsi:type="dcterms:W3CDTF">2016-09-20T08:49:11Z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