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5C" w:rsidRDefault="00593A5C">
      <w:pPr>
        <w:rPr>
          <w:rFonts w:ascii="方正小标宋简体" w:eastAsia="方正小标宋简体" w:hAnsi="方正小标宋简体" w:cs="方正小标宋简体" w:hint="eastAsia"/>
          <w:sz w:val="32"/>
          <w:szCs w:val="32"/>
        </w:rPr>
      </w:pPr>
    </w:p>
    <w:p w:rsidR="00593A5C" w:rsidRDefault="00FB74E1">
      <w:pPr>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附件：</w:t>
      </w:r>
      <w:r>
        <w:rPr>
          <w:rFonts w:ascii="方正小标宋简体" w:eastAsia="方正小标宋简体" w:hAnsi="方正小标宋简体" w:cs="方正小标宋简体" w:hint="eastAsia"/>
          <w:bCs/>
          <w:kern w:val="0"/>
          <w:sz w:val="32"/>
          <w:szCs w:val="32"/>
        </w:rPr>
        <w:t>四川大学中国特色社会主义理论研究中心</w:t>
      </w:r>
      <w:r>
        <w:rPr>
          <w:rFonts w:ascii="方正小标宋简体" w:eastAsia="方正小标宋简体" w:hAnsi="方正小标宋简体" w:cs="方正小标宋简体" w:hint="eastAsia"/>
          <w:bCs/>
          <w:kern w:val="0"/>
          <w:sz w:val="32"/>
          <w:szCs w:val="32"/>
        </w:rPr>
        <w:t>“</w:t>
      </w:r>
      <w:r>
        <w:rPr>
          <w:rFonts w:ascii="方正小标宋简体" w:eastAsia="方正小标宋简体" w:hAnsi="方正小标宋简体" w:cs="方正小标宋简体" w:hint="eastAsia"/>
          <w:bCs/>
          <w:kern w:val="0"/>
          <w:sz w:val="32"/>
          <w:szCs w:val="32"/>
        </w:rPr>
        <w:t>十八届六中全会精神理论研究专项课题</w:t>
      </w:r>
      <w:r>
        <w:rPr>
          <w:rFonts w:ascii="方正小标宋简体" w:eastAsia="方正小标宋简体" w:hAnsi="方正小标宋简体" w:cs="方正小标宋简体" w:hint="eastAsia"/>
          <w:bCs/>
          <w:kern w:val="0"/>
          <w:sz w:val="32"/>
          <w:szCs w:val="32"/>
        </w:rPr>
        <w:t>”立项</w:t>
      </w:r>
      <w:r>
        <w:rPr>
          <w:rFonts w:ascii="方正小标宋简体" w:eastAsia="方正小标宋简体" w:hAnsi="方正小标宋简体" w:cs="方正小标宋简体" w:hint="eastAsia"/>
          <w:bCs/>
          <w:kern w:val="0"/>
          <w:sz w:val="32"/>
          <w:szCs w:val="32"/>
        </w:rPr>
        <w:t>名单</w:t>
      </w:r>
    </w:p>
    <w:p w:rsidR="00593A5C" w:rsidRDefault="00593A5C">
      <w:pPr>
        <w:rPr>
          <w:rFonts w:ascii="方正小标宋简体" w:eastAsia="方正小标宋简体"/>
          <w:sz w:val="30"/>
          <w:szCs w:val="30"/>
        </w:rPr>
      </w:pPr>
    </w:p>
    <w:p w:rsidR="00593A5C" w:rsidRDefault="00FB74E1">
      <w:pPr>
        <w:numPr>
          <w:ilvl w:val="0"/>
          <w:numId w:val="1"/>
        </w:numPr>
        <w:rPr>
          <w:rFonts w:ascii="方正小标宋简体" w:eastAsia="方正小标宋简体"/>
          <w:sz w:val="30"/>
          <w:szCs w:val="30"/>
        </w:rPr>
      </w:pPr>
      <w:r>
        <w:rPr>
          <w:rFonts w:ascii="方正小标宋简体" w:eastAsia="方正小标宋简体" w:hint="eastAsia"/>
          <w:sz w:val="30"/>
          <w:szCs w:val="30"/>
        </w:rPr>
        <w:t>重点项目（共</w:t>
      </w:r>
      <w:r>
        <w:rPr>
          <w:rFonts w:ascii="方正小标宋简体" w:eastAsia="方正小标宋简体" w:hint="eastAsia"/>
          <w:sz w:val="30"/>
          <w:szCs w:val="30"/>
        </w:rPr>
        <w:t>10</w:t>
      </w:r>
      <w:r>
        <w:rPr>
          <w:rFonts w:ascii="方正小标宋简体" w:eastAsia="方正小标宋简体" w:hint="eastAsia"/>
          <w:sz w:val="30"/>
          <w:szCs w:val="30"/>
        </w:rPr>
        <w:t>项）</w:t>
      </w:r>
    </w:p>
    <w:p w:rsidR="00593A5C" w:rsidRDefault="00593A5C">
      <w:pPr>
        <w:rPr>
          <w:rFonts w:ascii="方正小标宋简体" w:eastAsia="方正小标宋简体"/>
          <w:sz w:val="30"/>
          <w:szCs w:val="30"/>
        </w:rPr>
      </w:pPr>
    </w:p>
    <w:tbl>
      <w:tblPr>
        <w:tblStyle w:val="a3"/>
        <w:tblW w:w="12277" w:type="dxa"/>
        <w:jc w:val="center"/>
        <w:tblInd w:w="-1216" w:type="dxa"/>
        <w:tblLayout w:type="fixed"/>
        <w:tblLook w:val="04A0" w:firstRow="1" w:lastRow="0" w:firstColumn="1" w:lastColumn="0" w:noHBand="0" w:noVBand="1"/>
      </w:tblPr>
      <w:tblGrid>
        <w:gridCol w:w="823"/>
        <w:gridCol w:w="7588"/>
        <w:gridCol w:w="1350"/>
        <w:gridCol w:w="2516"/>
      </w:tblGrid>
      <w:tr w:rsidR="00593A5C">
        <w:trPr>
          <w:jc w:val="center"/>
        </w:trPr>
        <w:tc>
          <w:tcPr>
            <w:tcW w:w="823" w:type="dxa"/>
          </w:tcPr>
          <w:p w:rsidR="00593A5C" w:rsidRDefault="00FB74E1">
            <w:pPr>
              <w:jc w:val="center"/>
              <w:rPr>
                <w:b/>
                <w:sz w:val="24"/>
                <w:szCs w:val="24"/>
              </w:rPr>
            </w:pPr>
            <w:r>
              <w:rPr>
                <w:rFonts w:hint="eastAsia"/>
                <w:b/>
                <w:sz w:val="24"/>
                <w:szCs w:val="24"/>
              </w:rPr>
              <w:t>序号</w:t>
            </w:r>
          </w:p>
        </w:tc>
        <w:tc>
          <w:tcPr>
            <w:tcW w:w="7588" w:type="dxa"/>
            <w:vAlign w:val="center"/>
          </w:tcPr>
          <w:p w:rsidR="00593A5C" w:rsidRDefault="00FB74E1">
            <w:pPr>
              <w:jc w:val="center"/>
              <w:rPr>
                <w:b/>
                <w:sz w:val="24"/>
                <w:szCs w:val="24"/>
              </w:rPr>
            </w:pPr>
            <w:r>
              <w:rPr>
                <w:rFonts w:hint="eastAsia"/>
                <w:b/>
                <w:sz w:val="24"/>
                <w:szCs w:val="24"/>
              </w:rPr>
              <w:t>课题名称</w:t>
            </w:r>
          </w:p>
        </w:tc>
        <w:tc>
          <w:tcPr>
            <w:tcW w:w="1350" w:type="dxa"/>
            <w:vAlign w:val="center"/>
          </w:tcPr>
          <w:p w:rsidR="00593A5C" w:rsidRDefault="00FB74E1">
            <w:pPr>
              <w:jc w:val="center"/>
              <w:rPr>
                <w:b/>
                <w:sz w:val="24"/>
                <w:szCs w:val="24"/>
              </w:rPr>
            </w:pPr>
            <w:r>
              <w:rPr>
                <w:rFonts w:hint="eastAsia"/>
                <w:b/>
                <w:sz w:val="24"/>
                <w:szCs w:val="24"/>
              </w:rPr>
              <w:t>申请人</w:t>
            </w:r>
          </w:p>
        </w:tc>
        <w:tc>
          <w:tcPr>
            <w:tcW w:w="2516" w:type="dxa"/>
            <w:vAlign w:val="center"/>
          </w:tcPr>
          <w:p w:rsidR="00593A5C" w:rsidRDefault="00FB74E1">
            <w:pPr>
              <w:jc w:val="center"/>
              <w:rPr>
                <w:sz w:val="24"/>
                <w:szCs w:val="24"/>
              </w:rPr>
            </w:pPr>
            <w:r>
              <w:rPr>
                <w:rFonts w:hint="eastAsia"/>
                <w:b/>
                <w:sz w:val="24"/>
                <w:szCs w:val="24"/>
              </w:rPr>
              <w:t>学院</w:t>
            </w:r>
            <w:r>
              <w:rPr>
                <w:rFonts w:hint="eastAsia"/>
                <w:b/>
                <w:sz w:val="24"/>
                <w:szCs w:val="24"/>
              </w:rPr>
              <w:t>/</w:t>
            </w:r>
            <w:r>
              <w:rPr>
                <w:rFonts w:hint="eastAsia"/>
                <w:b/>
                <w:sz w:val="24"/>
                <w:szCs w:val="24"/>
              </w:rPr>
              <w:t>部处</w:t>
            </w:r>
          </w:p>
        </w:tc>
      </w:tr>
      <w:tr w:rsidR="00FB74E1">
        <w:trPr>
          <w:jc w:val="center"/>
        </w:trPr>
        <w:tc>
          <w:tcPr>
            <w:tcW w:w="823" w:type="dxa"/>
          </w:tcPr>
          <w:p w:rsidR="00FB74E1" w:rsidRDefault="00FB74E1">
            <w:pPr>
              <w:jc w:val="center"/>
              <w:rPr>
                <w:sz w:val="24"/>
                <w:szCs w:val="24"/>
              </w:rPr>
            </w:pPr>
            <w:r>
              <w:rPr>
                <w:rFonts w:hint="eastAsia"/>
                <w:sz w:val="24"/>
                <w:szCs w:val="24"/>
              </w:rPr>
              <w:t>1</w:t>
            </w:r>
          </w:p>
        </w:tc>
        <w:tc>
          <w:tcPr>
            <w:tcW w:w="7588" w:type="dxa"/>
          </w:tcPr>
          <w:p w:rsidR="00FB74E1" w:rsidRDefault="00FB74E1" w:rsidP="00E57475">
            <w:pPr>
              <w:widowControl/>
              <w:jc w:val="left"/>
              <w:textAlignment w:val="top"/>
              <w:rPr>
                <w:sz w:val="24"/>
                <w:szCs w:val="24"/>
                <w:highlight w:val="yellow"/>
              </w:rPr>
            </w:pPr>
            <w:r>
              <w:rPr>
                <w:rFonts w:ascii="宋体" w:eastAsia="宋体" w:hAnsi="宋体" w:cs="宋体" w:hint="eastAsia"/>
                <w:color w:val="000000"/>
                <w:kern w:val="0"/>
                <w:sz w:val="24"/>
                <w:szCs w:val="24"/>
                <w:lang w:bidi="ar"/>
              </w:rPr>
              <w:t>加强和规范党内政治生活应把握的八组关系</w:t>
            </w:r>
          </w:p>
        </w:tc>
        <w:tc>
          <w:tcPr>
            <w:tcW w:w="1350" w:type="dxa"/>
            <w:vAlign w:val="center"/>
          </w:tcPr>
          <w:p w:rsidR="00FB74E1" w:rsidRDefault="00FB74E1" w:rsidP="00E57475">
            <w:pPr>
              <w:widowControl/>
              <w:jc w:val="center"/>
              <w:textAlignment w:val="top"/>
              <w:rPr>
                <w:sz w:val="24"/>
                <w:szCs w:val="24"/>
                <w:highlight w:val="yellow"/>
              </w:rPr>
            </w:pPr>
            <w:r>
              <w:rPr>
                <w:rFonts w:ascii="宋体" w:eastAsia="宋体" w:hAnsi="宋体" w:cs="宋体" w:hint="eastAsia"/>
                <w:color w:val="000000"/>
                <w:kern w:val="0"/>
                <w:sz w:val="24"/>
                <w:szCs w:val="24"/>
                <w:lang w:bidi="ar"/>
              </w:rPr>
              <w:t>王国敏</w:t>
            </w:r>
          </w:p>
        </w:tc>
        <w:tc>
          <w:tcPr>
            <w:tcW w:w="2516" w:type="dxa"/>
            <w:vAlign w:val="center"/>
          </w:tcPr>
          <w:p w:rsidR="00FB74E1" w:rsidRDefault="00FB74E1" w:rsidP="00E57475">
            <w:pPr>
              <w:widowControl/>
              <w:jc w:val="center"/>
              <w:textAlignment w:val="top"/>
              <w:rPr>
                <w:sz w:val="24"/>
                <w:szCs w:val="24"/>
                <w:highlight w:val="yellow"/>
              </w:rPr>
            </w:pPr>
            <w:r>
              <w:rPr>
                <w:rFonts w:ascii="宋体" w:eastAsia="宋体" w:hAnsi="宋体" w:cs="宋体" w:hint="eastAsia"/>
                <w:color w:val="000000"/>
                <w:kern w:val="0"/>
                <w:sz w:val="24"/>
                <w:szCs w:val="24"/>
                <w:lang w:bidi="ar"/>
              </w:rPr>
              <w:t>马克思主义学院</w:t>
            </w:r>
          </w:p>
        </w:tc>
      </w:tr>
      <w:tr w:rsidR="00FB74E1">
        <w:trPr>
          <w:jc w:val="center"/>
        </w:trPr>
        <w:tc>
          <w:tcPr>
            <w:tcW w:w="823" w:type="dxa"/>
          </w:tcPr>
          <w:p w:rsidR="00FB74E1" w:rsidRDefault="00FB74E1">
            <w:pPr>
              <w:jc w:val="center"/>
              <w:rPr>
                <w:sz w:val="24"/>
                <w:szCs w:val="24"/>
                <w:highlight w:val="yellow"/>
              </w:rPr>
            </w:pPr>
            <w:r>
              <w:rPr>
                <w:rFonts w:hint="eastAsia"/>
                <w:sz w:val="24"/>
                <w:szCs w:val="24"/>
              </w:rPr>
              <w:t>2</w:t>
            </w:r>
          </w:p>
        </w:tc>
        <w:tc>
          <w:tcPr>
            <w:tcW w:w="7588" w:type="dxa"/>
          </w:tcPr>
          <w:p w:rsidR="00FB74E1" w:rsidRDefault="00FB74E1" w:rsidP="00011570">
            <w:pPr>
              <w:jc w:val="left"/>
              <w:rPr>
                <w:sz w:val="24"/>
                <w:szCs w:val="24"/>
              </w:rPr>
            </w:pPr>
            <w:r>
              <w:rPr>
                <w:rFonts w:hint="eastAsia"/>
                <w:sz w:val="24"/>
                <w:szCs w:val="24"/>
              </w:rPr>
              <w:t>中国共产党的政治生态建设历程及基本经验</w:t>
            </w:r>
          </w:p>
        </w:tc>
        <w:tc>
          <w:tcPr>
            <w:tcW w:w="1350" w:type="dxa"/>
            <w:vAlign w:val="center"/>
          </w:tcPr>
          <w:p w:rsidR="00FB74E1" w:rsidRDefault="00FB74E1" w:rsidP="00011570">
            <w:pPr>
              <w:jc w:val="center"/>
              <w:rPr>
                <w:sz w:val="24"/>
                <w:szCs w:val="24"/>
              </w:rPr>
            </w:pPr>
            <w:r>
              <w:rPr>
                <w:rFonts w:hint="eastAsia"/>
                <w:sz w:val="24"/>
                <w:szCs w:val="24"/>
              </w:rPr>
              <w:t>刘吕红</w:t>
            </w:r>
          </w:p>
        </w:tc>
        <w:tc>
          <w:tcPr>
            <w:tcW w:w="2516" w:type="dxa"/>
            <w:vAlign w:val="center"/>
          </w:tcPr>
          <w:p w:rsidR="00FB74E1" w:rsidRDefault="00FB74E1" w:rsidP="00011570">
            <w:pPr>
              <w:jc w:val="center"/>
              <w:rPr>
                <w:sz w:val="24"/>
                <w:szCs w:val="24"/>
              </w:rPr>
            </w:pPr>
            <w:r>
              <w:rPr>
                <w:rFonts w:hint="eastAsia"/>
                <w:sz w:val="24"/>
                <w:szCs w:val="24"/>
              </w:rPr>
              <w:t>马克思主义学院</w:t>
            </w:r>
          </w:p>
        </w:tc>
      </w:tr>
      <w:tr w:rsidR="00FB74E1">
        <w:trPr>
          <w:jc w:val="center"/>
        </w:trPr>
        <w:tc>
          <w:tcPr>
            <w:tcW w:w="823" w:type="dxa"/>
          </w:tcPr>
          <w:p w:rsidR="00FB74E1" w:rsidRDefault="00FB74E1">
            <w:pPr>
              <w:jc w:val="center"/>
              <w:rPr>
                <w:sz w:val="24"/>
                <w:szCs w:val="24"/>
              </w:rPr>
            </w:pPr>
            <w:r>
              <w:rPr>
                <w:rFonts w:hint="eastAsia"/>
                <w:sz w:val="24"/>
                <w:szCs w:val="24"/>
              </w:rPr>
              <w:t>3</w:t>
            </w:r>
          </w:p>
        </w:tc>
        <w:tc>
          <w:tcPr>
            <w:tcW w:w="7588" w:type="dxa"/>
          </w:tcPr>
          <w:p w:rsidR="00FB74E1" w:rsidRDefault="00FB74E1" w:rsidP="00C62710">
            <w:pPr>
              <w:widowControl/>
              <w:jc w:val="left"/>
              <w:textAlignment w:val="top"/>
              <w:rPr>
                <w:sz w:val="24"/>
                <w:szCs w:val="24"/>
              </w:rPr>
            </w:pPr>
            <w:r>
              <w:rPr>
                <w:rFonts w:ascii="宋体" w:eastAsia="宋体" w:hAnsi="宋体" w:cs="宋体" w:hint="eastAsia"/>
                <w:color w:val="000000"/>
                <w:kern w:val="0"/>
                <w:sz w:val="24"/>
                <w:szCs w:val="24"/>
                <w:lang w:bidi="ar"/>
              </w:rPr>
              <w:t>习近平党建思想的内在逻辑研究</w:t>
            </w:r>
          </w:p>
        </w:tc>
        <w:tc>
          <w:tcPr>
            <w:tcW w:w="1350" w:type="dxa"/>
            <w:vAlign w:val="center"/>
          </w:tcPr>
          <w:p w:rsidR="00FB74E1" w:rsidRDefault="00FB74E1" w:rsidP="00C62710">
            <w:pPr>
              <w:widowControl/>
              <w:jc w:val="center"/>
              <w:textAlignment w:val="top"/>
              <w:rPr>
                <w:sz w:val="24"/>
                <w:szCs w:val="24"/>
              </w:rPr>
            </w:pPr>
            <w:r>
              <w:rPr>
                <w:rFonts w:ascii="宋体" w:eastAsia="宋体" w:hAnsi="宋体" w:cs="宋体" w:hint="eastAsia"/>
                <w:color w:val="000000"/>
                <w:kern w:val="0"/>
                <w:sz w:val="24"/>
                <w:szCs w:val="24"/>
                <w:lang w:bidi="ar"/>
              </w:rPr>
              <w:t>史云贵</w:t>
            </w:r>
          </w:p>
        </w:tc>
        <w:tc>
          <w:tcPr>
            <w:tcW w:w="2516" w:type="dxa"/>
            <w:vAlign w:val="center"/>
          </w:tcPr>
          <w:p w:rsidR="00FB74E1" w:rsidRDefault="00FB74E1" w:rsidP="00C62710">
            <w:pPr>
              <w:widowControl/>
              <w:jc w:val="center"/>
              <w:textAlignment w:val="top"/>
              <w:rPr>
                <w:sz w:val="24"/>
                <w:szCs w:val="24"/>
              </w:rPr>
            </w:pPr>
            <w:r>
              <w:rPr>
                <w:rFonts w:ascii="宋体" w:eastAsia="宋体" w:hAnsi="宋体" w:cs="宋体" w:hint="eastAsia"/>
                <w:color w:val="000000"/>
                <w:kern w:val="0"/>
                <w:sz w:val="24"/>
                <w:szCs w:val="24"/>
                <w:lang w:bidi="ar"/>
              </w:rPr>
              <w:t>公共管理学院</w:t>
            </w:r>
          </w:p>
        </w:tc>
      </w:tr>
      <w:tr w:rsidR="00FB74E1">
        <w:trPr>
          <w:trHeight w:val="90"/>
          <w:jc w:val="center"/>
        </w:trPr>
        <w:tc>
          <w:tcPr>
            <w:tcW w:w="823" w:type="dxa"/>
          </w:tcPr>
          <w:p w:rsidR="00FB74E1" w:rsidRDefault="00FB74E1">
            <w:pPr>
              <w:jc w:val="center"/>
              <w:rPr>
                <w:sz w:val="24"/>
                <w:szCs w:val="24"/>
              </w:rPr>
            </w:pPr>
            <w:r>
              <w:rPr>
                <w:rFonts w:hint="eastAsia"/>
                <w:sz w:val="24"/>
                <w:szCs w:val="24"/>
              </w:rPr>
              <w:t>4</w:t>
            </w:r>
          </w:p>
        </w:tc>
        <w:tc>
          <w:tcPr>
            <w:tcW w:w="7588" w:type="dxa"/>
          </w:tcPr>
          <w:p w:rsidR="00FB74E1" w:rsidRDefault="00FB74E1" w:rsidP="00467A02">
            <w:pPr>
              <w:widowControl/>
              <w:jc w:val="left"/>
              <w:textAlignment w:val="top"/>
              <w:rPr>
                <w:sz w:val="24"/>
                <w:szCs w:val="24"/>
              </w:rPr>
            </w:pPr>
            <w:r>
              <w:rPr>
                <w:rFonts w:ascii="宋体" w:eastAsia="宋体" w:hAnsi="宋体" w:cs="宋体" w:hint="eastAsia"/>
                <w:color w:val="000000"/>
                <w:kern w:val="0"/>
                <w:sz w:val="24"/>
                <w:szCs w:val="24"/>
                <w:lang w:bidi="ar"/>
              </w:rPr>
              <w:t>六中全会精神对青年思想政治素质培养的指导意义研究</w:t>
            </w:r>
          </w:p>
        </w:tc>
        <w:tc>
          <w:tcPr>
            <w:tcW w:w="1350" w:type="dxa"/>
            <w:vAlign w:val="center"/>
          </w:tcPr>
          <w:p w:rsidR="00FB74E1" w:rsidRDefault="00FB74E1" w:rsidP="00467A02">
            <w:pPr>
              <w:widowControl/>
              <w:jc w:val="center"/>
              <w:textAlignment w:val="top"/>
              <w:rPr>
                <w:sz w:val="24"/>
                <w:szCs w:val="24"/>
              </w:rPr>
            </w:pPr>
            <w:r>
              <w:rPr>
                <w:rFonts w:ascii="宋体" w:eastAsia="宋体" w:hAnsi="宋体" w:cs="宋体" w:hint="eastAsia"/>
                <w:color w:val="000000"/>
                <w:kern w:val="0"/>
                <w:sz w:val="24"/>
                <w:szCs w:val="24"/>
                <w:lang w:bidi="ar"/>
              </w:rPr>
              <w:t>李</w:t>
            </w:r>
            <w:proofErr w:type="gramStart"/>
            <w:r>
              <w:rPr>
                <w:rFonts w:ascii="宋体" w:eastAsia="宋体" w:hAnsi="宋体" w:cs="宋体" w:hint="eastAsia"/>
                <w:color w:val="000000"/>
                <w:kern w:val="0"/>
                <w:sz w:val="24"/>
                <w:szCs w:val="24"/>
                <w:lang w:bidi="ar"/>
              </w:rPr>
              <w:t>栓</w:t>
            </w:r>
            <w:proofErr w:type="gramEnd"/>
            <w:r>
              <w:rPr>
                <w:rFonts w:ascii="宋体" w:eastAsia="宋体" w:hAnsi="宋体" w:cs="宋体" w:hint="eastAsia"/>
                <w:color w:val="000000"/>
                <w:kern w:val="0"/>
                <w:sz w:val="24"/>
                <w:szCs w:val="24"/>
                <w:lang w:bidi="ar"/>
              </w:rPr>
              <w:t>久</w:t>
            </w:r>
          </w:p>
        </w:tc>
        <w:tc>
          <w:tcPr>
            <w:tcW w:w="2516" w:type="dxa"/>
            <w:vAlign w:val="center"/>
          </w:tcPr>
          <w:p w:rsidR="00FB74E1" w:rsidRDefault="00FB74E1" w:rsidP="00467A02">
            <w:pPr>
              <w:widowControl/>
              <w:jc w:val="center"/>
              <w:textAlignment w:val="top"/>
              <w:rPr>
                <w:sz w:val="24"/>
                <w:szCs w:val="24"/>
              </w:rPr>
            </w:pPr>
            <w:proofErr w:type="gramStart"/>
            <w:r>
              <w:rPr>
                <w:rFonts w:ascii="宋体" w:eastAsia="宋体" w:hAnsi="宋体" w:cs="宋体" w:hint="eastAsia"/>
                <w:color w:val="000000"/>
                <w:kern w:val="0"/>
                <w:sz w:val="24"/>
                <w:szCs w:val="24"/>
                <w:lang w:bidi="ar"/>
              </w:rPr>
              <w:t>研</w:t>
            </w:r>
            <w:proofErr w:type="gramEnd"/>
            <w:r>
              <w:rPr>
                <w:rFonts w:ascii="宋体" w:eastAsia="宋体" w:hAnsi="宋体" w:cs="宋体" w:hint="eastAsia"/>
                <w:color w:val="000000"/>
                <w:kern w:val="0"/>
                <w:sz w:val="24"/>
                <w:szCs w:val="24"/>
                <w:lang w:bidi="ar"/>
              </w:rPr>
              <w:t>工部</w:t>
            </w:r>
          </w:p>
        </w:tc>
      </w:tr>
      <w:tr w:rsidR="00FB74E1">
        <w:trPr>
          <w:jc w:val="center"/>
        </w:trPr>
        <w:tc>
          <w:tcPr>
            <w:tcW w:w="823" w:type="dxa"/>
          </w:tcPr>
          <w:p w:rsidR="00FB74E1" w:rsidRDefault="00FB74E1">
            <w:pPr>
              <w:jc w:val="center"/>
              <w:rPr>
                <w:sz w:val="24"/>
                <w:szCs w:val="24"/>
              </w:rPr>
            </w:pPr>
            <w:r>
              <w:rPr>
                <w:rFonts w:hint="eastAsia"/>
                <w:sz w:val="24"/>
                <w:szCs w:val="24"/>
              </w:rPr>
              <w:t>5</w:t>
            </w:r>
          </w:p>
        </w:tc>
        <w:tc>
          <w:tcPr>
            <w:tcW w:w="7588" w:type="dxa"/>
          </w:tcPr>
          <w:p w:rsidR="00FB74E1" w:rsidRDefault="00FB74E1" w:rsidP="00FD08AC">
            <w:pPr>
              <w:widowControl/>
              <w:jc w:val="left"/>
              <w:textAlignment w:val="top"/>
              <w:rPr>
                <w:sz w:val="24"/>
                <w:szCs w:val="24"/>
              </w:rPr>
            </w:pPr>
            <w:r>
              <w:rPr>
                <w:rFonts w:ascii="宋体" w:eastAsia="宋体" w:hAnsi="宋体" w:cs="宋体" w:hint="eastAsia"/>
                <w:color w:val="000000"/>
                <w:kern w:val="0"/>
                <w:sz w:val="24"/>
                <w:szCs w:val="24"/>
                <w:lang w:bidi="ar"/>
              </w:rPr>
              <w:t>高校机关党建工作理论与实践—以四川大学为例</w:t>
            </w:r>
          </w:p>
        </w:tc>
        <w:tc>
          <w:tcPr>
            <w:tcW w:w="1350" w:type="dxa"/>
            <w:vAlign w:val="center"/>
          </w:tcPr>
          <w:p w:rsidR="00FB74E1" w:rsidRDefault="00FB74E1" w:rsidP="00FD08AC">
            <w:pPr>
              <w:widowControl/>
              <w:jc w:val="center"/>
              <w:textAlignment w:val="top"/>
              <w:rPr>
                <w:sz w:val="24"/>
                <w:szCs w:val="24"/>
              </w:rPr>
            </w:pPr>
            <w:r>
              <w:rPr>
                <w:rFonts w:ascii="宋体" w:eastAsia="宋体" w:hAnsi="宋体" w:cs="宋体" w:hint="eastAsia"/>
                <w:color w:val="000000"/>
                <w:kern w:val="0"/>
                <w:sz w:val="24"/>
                <w:szCs w:val="24"/>
                <w:lang w:bidi="ar"/>
              </w:rPr>
              <w:t>王军</w:t>
            </w:r>
          </w:p>
        </w:tc>
        <w:tc>
          <w:tcPr>
            <w:tcW w:w="2516" w:type="dxa"/>
            <w:vAlign w:val="center"/>
          </w:tcPr>
          <w:p w:rsidR="00FB74E1" w:rsidRDefault="00FB74E1" w:rsidP="00FD08AC">
            <w:pPr>
              <w:widowControl/>
              <w:jc w:val="center"/>
              <w:textAlignment w:val="top"/>
              <w:rPr>
                <w:sz w:val="24"/>
                <w:szCs w:val="24"/>
              </w:rPr>
            </w:pPr>
            <w:r>
              <w:rPr>
                <w:rFonts w:ascii="宋体" w:eastAsia="宋体" w:hAnsi="宋体" w:cs="宋体" w:hint="eastAsia"/>
                <w:color w:val="000000"/>
                <w:kern w:val="0"/>
                <w:sz w:val="24"/>
                <w:szCs w:val="24"/>
                <w:lang w:bidi="ar"/>
              </w:rPr>
              <w:t>机关党委</w:t>
            </w:r>
          </w:p>
        </w:tc>
      </w:tr>
      <w:tr w:rsidR="00FB74E1">
        <w:trPr>
          <w:jc w:val="center"/>
        </w:trPr>
        <w:tc>
          <w:tcPr>
            <w:tcW w:w="823" w:type="dxa"/>
          </w:tcPr>
          <w:p w:rsidR="00FB74E1" w:rsidRDefault="00FB74E1">
            <w:pPr>
              <w:jc w:val="center"/>
              <w:rPr>
                <w:sz w:val="24"/>
                <w:szCs w:val="24"/>
              </w:rPr>
            </w:pPr>
            <w:r>
              <w:rPr>
                <w:rFonts w:hint="eastAsia"/>
                <w:sz w:val="24"/>
                <w:szCs w:val="24"/>
              </w:rPr>
              <w:t>6</w:t>
            </w:r>
          </w:p>
        </w:tc>
        <w:tc>
          <w:tcPr>
            <w:tcW w:w="7588" w:type="dxa"/>
          </w:tcPr>
          <w:p w:rsidR="00FB74E1" w:rsidRDefault="00FB74E1" w:rsidP="00831A26">
            <w:pPr>
              <w:widowControl/>
              <w:jc w:val="left"/>
              <w:textAlignment w:val="top"/>
              <w:rPr>
                <w:sz w:val="24"/>
                <w:szCs w:val="24"/>
              </w:rPr>
            </w:pPr>
            <w:r>
              <w:rPr>
                <w:rFonts w:ascii="宋体" w:eastAsia="宋体" w:hAnsi="宋体" w:cs="宋体" w:hint="eastAsia"/>
                <w:color w:val="000000"/>
                <w:kern w:val="0"/>
                <w:sz w:val="24"/>
                <w:szCs w:val="24"/>
                <w:lang w:bidi="ar"/>
              </w:rPr>
              <w:t xml:space="preserve">西部高校基层党组织建设的理论与实践——基于四川大学的实证研究     </w:t>
            </w:r>
          </w:p>
        </w:tc>
        <w:tc>
          <w:tcPr>
            <w:tcW w:w="1350" w:type="dxa"/>
            <w:vAlign w:val="center"/>
          </w:tcPr>
          <w:p w:rsidR="00FB74E1" w:rsidRDefault="00FB74E1" w:rsidP="00831A26">
            <w:pPr>
              <w:widowControl/>
              <w:jc w:val="center"/>
              <w:textAlignment w:val="top"/>
              <w:rPr>
                <w:sz w:val="24"/>
                <w:szCs w:val="24"/>
              </w:rPr>
            </w:pPr>
            <w:r>
              <w:rPr>
                <w:rFonts w:ascii="宋体" w:eastAsia="宋体" w:hAnsi="宋体" w:cs="宋体" w:hint="eastAsia"/>
                <w:color w:val="000000"/>
                <w:kern w:val="0"/>
                <w:sz w:val="24"/>
                <w:szCs w:val="24"/>
                <w:lang w:bidi="ar"/>
              </w:rPr>
              <w:t>彭亮</w:t>
            </w:r>
          </w:p>
        </w:tc>
        <w:tc>
          <w:tcPr>
            <w:tcW w:w="2516" w:type="dxa"/>
            <w:vAlign w:val="center"/>
          </w:tcPr>
          <w:p w:rsidR="00FB74E1" w:rsidRDefault="00FB74E1" w:rsidP="00831A26">
            <w:pPr>
              <w:widowControl/>
              <w:jc w:val="center"/>
              <w:textAlignment w:val="top"/>
              <w:rPr>
                <w:sz w:val="24"/>
                <w:szCs w:val="24"/>
              </w:rPr>
            </w:pPr>
            <w:r>
              <w:rPr>
                <w:rFonts w:ascii="宋体" w:eastAsia="宋体" w:hAnsi="宋体" w:cs="宋体" w:hint="eastAsia"/>
                <w:color w:val="000000"/>
                <w:kern w:val="0"/>
                <w:sz w:val="24"/>
                <w:szCs w:val="24"/>
                <w:lang w:bidi="ar"/>
              </w:rPr>
              <w:t>外国语学院</w:t>
            </w:r>
          </w:p>
        </w:tc>
      </w:tr>
      <w:tr w:rsidR="00FB74E1">
        <w:trPr>
          <w:jc w:val="center"/>
        </w:trPr>
        <w:tc>
          <w:tcPr>
            <w:tcW w:w="823" w:type="dxa"/>
          </w:tcPr>
          <w:p w:rsidR="00FB74E1" w:rsidRDefault="00FB74E1">
            <w:pPr>
              <w:jc w:val="center"/>
              <w:rPr>
                <w:sz w:val="24"/>
                <w:szCs w:val="24"/>
              </w:rPr>
            </w:pPr>
            <w:r>
              <w:rPr>
                <w:rFonts w:hint="eastAsia"/>
                <w:sz w:val="24"/>
                <w:szCs w:val="24"/>
              </w:rPr>
              <w:t>7</w:t>
            </w:r>
          </w:p>
        </w:tc>
        <w:tc>
          <w:tcPr>
            <w:tcW w:w="7588" w:type="dxa"/>
          </w:tcPr>
          <w:p w:rsidR="00FB74E1" w:rsidRDefault="00FB74E1" w:rsidP="003F4D39">
            <w:pPr>
              <w:widowControl/>
              <w:jc w:val="left"/>
              <w:textAlignment w:val="top"/>
              <w:rPr>
                <w:sz w:val="24"/>
                <w:szCs w:val="24"/>
              </w:rPr>
            </w:pPr>
            <w:r>
              <w:rPr>
                <w:rFonts w:ascii="宋体" w:eastAsia="宋体" w:hAnsi="宋体" w:cs="宋体" w:hint="eastAsia"/>
                <w:color w:val="000000"/>
                <w:kern w:val="0"/>
                <w:sz w:val="24"/>
                <w:szCs w:val="24"/>
                <w:lang w:bidi="ar"/>
              </w:rPr>
              <w:t>新形势下党内政治文化建设路径研究</w:t>
            </w:r>
          </w:p>
        </w:tc>
        <w:tc>
          <w:tcPr>
            <w:tcW w:w="1350" w:type="dxa"/>
            <w:vAlign w:val="center"/>
          </w:tcPr>
          <w:p w:rsidR="00FB74E1" w:rsidRDefault="00FB74E1" w:rsidP="003F4D39">
            <w:pPr>
              <w:widowControl/>
              <w:jc w:val="center"/>
              <w:textAlignment w:val="top"/>
              <w:rPr>
                <w:sz w:val="24"/>
                <w:szCs w:val="24"/>
              </w:rPr>
            </w:pPr>
            <w:proofErr w:type="gramStart"/>
            <w:r>
              <w:rPr>
                <w:rFonts w:ascii="宋体" w:eastAsia="宋体" w:hAnsi="宋体" w:cs="宋体" w:hint="eastAsia"/>
                <w:color w:val="000000"/>
                <w:kern w:val="0"/>
                <w:sz w:val="24"/>
                <w:szCs w:val="24"/>
                <w:lang w:bidi="ar"/>
              </w:rPr>
              <w:t>刘肖</w:t>
            </w:r>
            <w:proofErr w:type="gramEnd"/>
          </w:p>
        </w:tc>
        <w:tc>
          <w:tcPr>
            <w:tcW w:w="2516" w:type="dxa"/>
            <w:vAlign w:val="center"/>
          </w:tcPr>
          <w:p w:rsidR="00FB74E1" w:rsidRDefault="00FB74E1" w:rsidP="003F4D39">
            <w:pPr>
              <w:widowControl/>
              <w:jc w:val="center"/>
              <w:textAlignment w:val="top"/>
              <w:rPr>
                <w:sz w:val="24"/>
                <w:szCs w:val="24"/>
              </w:rPr>
            </w:pPr>
            <w:r>
              <w:rPr>
                <w:rFonts w:ascii="宋体" w:eastAsia="宋体" w:hAnsi="宋体" w:cs="宋体" w:hint="eastAsia"/>
                <w:color w:val="000000"/>
                <w:kern w:val="0"/>
                <w:sz w:val="24"/>
                <w:szCs w:val="24"/>
                <w:lang w:bidi="ar"/>
              </w:rPr>
              <w:t>马克思主义学院</w:t>
            </w:r>
          </w:p>
        </w:tc>
      </w:tr>
      <w:tr w:rsidR="00FB74E1">
        <w:trPr>
          <w:jc w:val="center"/>
        </w:trPr>
        <w:tc>
          <w:tcPr>
            <w:tcW w:w="823" w:type="dxa"/>
          </w:tcPr>
          <w:p w:rsidR="00FB74E1" w:rsidRDefault="00FB74E1">
            <w:pPr>
              <w:jc w:val="center"/>
              <w:rPr>
                <w:sz w:val="24"/>
                <w:szCs w:val="24"/>
              </w:rPr>
            </w:pPr>
            <w:r>
              <w:rPr>
                <w:rFonts w:hint="eastAsia"/>
                <w:sz w:val="24"/>
                <w:szCs w:val="24"/>
              </w:rPr>
              <w:t>8</w:t>
            </w:r>
          </w:p>
        </w:tc>
        <w:tc>
          <w:tcPr>
            <w:tcW w:w="7588" w:type="dxa"/>
          </w:tcPr>
          <w:p w:rsidR="00FB74E1" w:rsidRDefault="00FB74E1" w:rsidP="002603E9">
            <w:pPr>
              <w:widowControl/>
              <w:jc w:val="left"/>
              <w:textAlignment w:val="top"/>
              <w:rPr>
                <w:sz w:val="24"/>
                <w:szCs w:val="24"/>
              </w:rPr>
            </w:pPr>
            <w:r>
              <w:rPr>
                <w:rFonts w:ascii="宋体" w:eastAsia="宋体" w:hAnsi="宋体" w:cs="宋体" w:hint="eastAsia"/>
                <w:color w:val="000000"/>
                <w:kern w:val="0"/>
                <w:sz w:val="24"/>
                <w:szCs w:val="24"/>
                <w:lang w:bidi="ar"/>
              </w:rPr>
              <w:t>全面从严治党语境下党的制度体系建设科学化研究</w:t>
            </w:r>
          </w:p>
        </w:tc>
        <w:tc>
          <w:tcPr>
            <w:tcW w:w="1350" w:type="dxa"/>
            <w:vAlign w:val="center"/>
          </w:tcPr>
          <w:p w:rsidR="00FB74E1" w:rsidRDefault="00FB74E1" w:rsidP="002603E9">
            <w:pPr>
              <w:widowControl/>
              <w:jc w:val="center"/>
              <w:textAlignment w:val="top"/>
              <w:rPr>
                <w:sz w:val="24"/>
                <w:szCs w:val="24"/>
              </w:rPr>
            </w:pPr>
            <w:r>
              <w:rPr>
                <w:rFonts w:ascii="宋体" w:eastAsia="宋体" w:hAnsi="宋体" w:cs="宋体" w:hint="eastAsia"/>
                <w:color w:val="000000"/>
                <w:kern w:val="0"/>
                <w:sz w:val="24"/>
                <w:szCs w:val="24"/>
                <w:lang w:bidi="ar"/>
              </w:rPr>
              <w:t>任泰山</w:t>
            </w:r>
          </w:p>
        </w:tc>
        <w:tc>
          <w:tcPr>
            <w:tcW w:w="2516" w:type="dxa"/>
            <w:vAlign w:val="center"/>
          </w:tcPr>
          <w:p w:rsidR="00FB74E1" w:rsidRDefault="00FB74E1" w:rsidP="002603E9">
            <w:pPr>
              <w:widowControl/>
              <w:jc w:val="center"/>
              <w:textAlignment w:val="top"/>
              <w:rPr>
                <w:sz w:val="24"/>
                <w:szCs w:val="24"/>
              </w:rPr>
            </w:pPr>
            <w:r>
              <w:rPr>
                <w:rFonts w:ascii="宋体" w:eastAsia="宋体" w:hAnsi="宋体" w:cs="宋体" w:hint="eastAsia"/>
                <w:color w:val="000000"/>
                <w:kern w:val="0"/>
                <w:sz w:val="24"/>
                <w:szCs w:val="24"/>
                <w:lang w:bidi="ar"/>
              </w:rPr>
              <w:t>纪委办公室</w:t>
            </w:r>
          </w:p>
        </w:tc>
      </w:tr>
      <w:tr w:rsidR="00FB74E1">
        <w:trPr>
          <w:jc w:val="center"/>
        </w:trPr>
        <w:tc>
          <w:tcPr>
            <w:tcW w:w="823" w:type="dxa"/>
          </w:tcPr>
          <w:p w:rsidR="00FB74E1" w:rsidRDefault="00FB74E1">
            <w:pPr>
              <w:jc w:val="center"/>
              <w:rPr>
                <w:sz w:val="24"/>
                <w:szCs w:val="24"/>
                <w:highlight w:val="yellow"/>
              </w:rPr>
            </w:pPr>
            <w:r>
              <w:rPr>
                <w:rFonts w:hint="eastAsia"/>
                <w:sz w:val="24"/>
                <w:szCs w:val="24"/>
              </w:rPr>
              <w:t>9</w:t>
            </w:r>
          </w:p>
        </w:tc>
        <w:tc>
          <w:tcPr>
            <w:tcW w:w="7588" w:type="dxa"/>
          </w:tcPr>
          <w:p w:rsidR="00FB74E1" w:rsidRDefault="00FB74E1" w:rsidP="009A3549">
            <w:pPr>
              <w:widowControl/>
              <w:jc w:val="left"/>
              <w:textAlignment w:val="top"/>
              <w:rPr>
                <w:sz w:val="24"/>
                <w:szCs w:val="24"/>
                <w:highlight w:val="yellow"/>
              </w:rPr>
            </w:pPr>
            <w:r>
              <w:rPr>
                <w:rFonts w:ascii="宋体" w:eastAsia="宋体" w:hAnsi="宋体" w:cs="宋体" w:hint="eastAsia"/>
                <w:color w:val="000000"/>
                <w:kern w:val="0"/>
                <w:sz w:val="24"/>
                <w:szCs w:val="24"/>
                <w:lang w:bidi="ar"/>
              </w:rPr>
              <w:t>高校学生党员“四个意识”培育工作精品项</w:t>
            </w:r>
            <w:bookmarkStart w:id="0" w:name="_GoBack"/>
            <w:bookmarkEnd w:id="0"/>
            <w:r>
              <w:rPr>
                <w:rFonts w:ascii="宋体" w:eastAsia="宋体" w:hAnsi="宋体" w:cs="宋体" w:hint="eastAsia"/>
                <w:color w:val="000000"/>
                <w:kern w:val="0"/>
                <w:sz w:val="24"/>
                <w:szCs w:val="24"/>
                <w:lang w:bidi="ar"/>
              </w:rPr>
              <w:t>目建设研究</w:t>
            </w:r>
          </w:p>
        </w:tc>
        <w:tc>
          <w:tcPr>
            <w:tcW w:w="1350" w:type="dxa"/>
            <w:vAlign w:val="center"/>
          </w:tcPr>
          <w:p w:rsidR="00FB74E1" w:rsidRDefault="00FB74E1" w:rsidP="009A3549">
            <w:pPr>
              <w:widowControl/>
              <w:jc w:val="center"/>
              <w:textAlignment w:val="top"/>
              <w:rPr>
                <w:sz w:val="24"/>
                <w:szCs w:val="24"/>
                <w:highlight w:val="yellow"/>
              </w:rPr>
            </w:pPr>
            <w:r>
              <w:rPr>
                <w:rFonts w:ascii="宋体" w:eastAsia="宋体" w:hAnsi="宋体" w:cs="宋体" w:hint="eastAsia"/>
                <w:color w:val="000000"/>
                <w:kern w:val="0"/>
                <w:sz w:val="24"/>
                <w:szCs w:val="24"/>
                <w:lang w:bidi="ar"/>
              </w:rPr>
              <w:t>巫科</w:t>
            </w:r>
          </w:p>
        </w:tc>
        <w:tc>
          <w:tcPr>
            <w:tcW w:w="2516" w:type="dxa"/>
            <w:vAlign w:val="center"/>
          </w:tcPr>
          <w:p w:rsidR="00FB74E1" w:rsidRDefault="00FB74E1" w:rsidP="009A3549">
            <w:pPr>
              <w:widowControl/>
              <w:jc w:val="center"/>
              <w:textAlignment w:val="top"/>
              <w:rPr>
                <w:sz w:val="24"/>
                <w:szCs w:val="24"/>
                <w:highlight w:val="yellow"/>
              </w:rPr>
            </w:pPr>
            <w:r>
              <w:rPr>
                <w:rFonts w:ascii="宋体" w:eastAsia="宋体" w:hAnsi="宋体" w:cs="宋体" w:hint="eastAsia"/>
                <w:color w:val="000000"/>
                <w:kern w:val="0"/>
                <w:sz w:val="24"/>
                <w:szCs w:val="24"/>
                <w:lang w:bidi="ar"/>
              </w:rPr>
              <w:t>商学院</w:t>
            </w:r>
          </w:p>
        </w:tc>
      </w:tr>
      <w:tr w:rsidR="00FB74E1" w:rsidTr="00FB74E1">
        <w:trPr>
          <w:trHeight w:val="90"/>
          <w:jc w:val="center"/>
        </w:trPr>
        <w:tc>
          <w:tcPr>
            <w:tcW w:w="823" w:type="dxa"/>
            <w:vAlign w:val="center"/>
          </w:tcPr>
          <w:p w:rsidR="00FB74E1" w:rsidRDefault="00FB74E1" w:rsidP="00FB74E1">
            <w:pPr>
              <w:jc w:val="center"/>
              <w:rPr>
                <w:rFonts w:hint="eastAsia"/>
                <w:sz w:val="24"/>
                <w:szCs w:val="24"/>
              </w:rPr>
            </w:pPr>
            <w:r>
              <w:rPr>
                <w:rFonts w:hint="eastAsia"/>
                <w:sz w:val="24"/>
                <w:szCs w:val="24"/>
              </w:rPr>
              <w:t>10</w:t>
            </w:r>
          </w:p>
        </w:tc>
        <w:tc>
          <w:tcPr>
            <w:tcW w:w="7588" w:type="dxa"/>
          </w:tcPr>
          <w:p w:rsidR="00FB74E1" w:rsidRDefault="00FB74E1" w:rsidP="006D4158">
            <w:pPr>
              <w:widowControl/>
              <w:jc w:val="left"/>
              <w:textAlignment w:val="top"/>
              <w:rPr>
                <w:sz w:val="24"/>
                <w:szCs w:val="24"/>
                <w:highlight w:val="yellow"/>
              </w:rPr>
            </w:pPr>
            <w:r>
              <w:rPr>
                <w:rFonts w:ascii="宋体" w:eastAsia="宋体" w:hAnsi="宋体" w:cs="宋体" w:hint="eastAsia"/>
                <w:color w:val="000000"/>
                <w:kern w:val="0"/>
                <w:sz w:val="24"/>
                <w:szCs w:val="24"/>
                <w:lang w:bidi="ar"/>
              </w:rPr>
              <w:t>大学生思想政治觉悟影响因素的实证分析及对策研究——以四川地区部分高校为例</w:t>
            </w:r>
          </w:p>
        </w:tc>
        <w:tc>
          <w:tcPr>
            <w:tcW w:w="1350" w:type="dxa"/>
            <w:vAlign w:val="center"/>
          </w:tcPr>
          <w:p w:rsidR="00FB74E1" w:rsidRDefault="00FB74E1" w:rsidP="006D4158">
            <w:pPr>
              <w:widowControl/>
              <w:jc w:val="center"/>
              <w:textAlignment w:val="top"/>
              <w:rPr>
                <w:sz w:val="24"/>
                <w:szCs w:val="24"/>
                <w:highlight w:val="yellow"/>
              </w:rPr>
            </w:pPr>
            <w:r>
              <w:rPr>
                <w:rFonts w:ascii="宋体" w:eastAsia="宋体" w:hAnsi="宋体" w:cs="宋体" w:hint="eastAsia"/>
                <w:color w:val="000000"/>
                <w:kern w:val="0"/>
                <w:sz w:val="24"/>
                <w:szCs w:val="24"/>
                <w:lang w:bidi="ar"/>
              </w:rPr>
              <w:t>刘峥</w:t>
            </w:r>
          </w:p>
        </w:tc>
        <w:tc>
          <w:tcPr>
            <w:tcW w:w="2516" w:type="dxa"/>
            <w:vAlign w:val="center"/>
          </w:tcPr>
          <w:p w:rsidR="00FB74E1" w:rsidRDefault="00FB74E1" w:rsidP="006D4158">
            <w:pPr>
              <w:widowControl/>
              <w:jc w:val="center"/>
              <w:textAlignment w:val="top"/>
              <w:rPr>
                <w:sz w:val="24"/>
                <w:szCs w:val="24"/>
                <w:highlight w:val="yellow"/>
              </w:rPr>
            </w:pPr>
            <w:r>
              <w:rPr>
                <w:rFonts w:ascii="宋体" w:eastAsia="宋体" w:hAnsi="宋体" w:cs="宋体" w:hint="eastAsia"/>
                <w:color w:val="000000"/>
                <w:kern w:val="0"/>
                <w:sz w:val="24"/>
                <w:szCs w:val="24"/>
                <w:lang w:bidi="ar"/>
              </w:rPr>
              <w:t>经济学院</w:t>
            </w:r>
          </w:p>
        </w:tc>
      </w:tr>
    </w:tbl>
    <w:p w:rsidR="00593A5C" w:rsidRDefault="00593A5C"/>
    <w:p w:rsidR="00593A5C" w:rsidRDefault="00593A5C">
      <w:pPr>
        <w:rPr>
          <w:rFonts w:ascii="方正小标宋简体" w:eastAsia="方正小标宋简体"/>
          <w:sz w:val="32"/>
          <w:szCs w:val="32"/>
        </w:rPr>
      </w:pPr>
    </w:p>
    <w:p w:rsidR="00593A5C" w:rsidRDefault="00593A5C">
      <w:pPr>
        <w:rPr>
          <w:rFonts w:ascii="方正小标宋简体" w:eastAsia="方正小标宋简体"/>
          <w:sz w:val="32"/>
          <w:szCs w:val="32"/>
        </w:rPr>
      </w:pPr>
    </w:p>
    <w:p w:rsidR="00593A5C" w:rsidRDefault="00FB74E1">
      <w:pPr>
        <w:rPr>
          <w:rFonts w:ascii="方正小标宋简体" w:eastAsia="方正小标宋简体"/>
          <w:sz w:val="30"/>
          <w:szCs w:val="30"/>
        </w:rPr>
      </w:pPr>
      <w:r>
        <w:rPr>
          <w:rFonts w:ascii="方正小标宋简体" w:eastAsia="方正小标宋简体" w:hint="eastAsia"/>
          <w:sz w:val="32"/>
          <w:szCs w:val="32"/>
        </w:rPr>
        <w:t>二、</w:t>
      </w:r>
      <w:r>
        <w:rPr>
          <w:rFonts w:ascii="方正小标宋简体" w:eastAsia="方正小标宋简体" w:hint="eastAsia"/>
          <w:sz w:val="30"/>
          <w:szCs w:val="30"/>
        </w:rPr>
        <w:t>一般项目（共</w:t>
      </w:r>
      <w:r>
        <w:rPr>
          <w:rFonts w:ascii="方正小标宋简体" w:eastAsia="方正小标宋简体" w:hint="eastAsia"/>
          <w:sz w:val="30"/>
          <w:szCs w:val="30"/>
        </w:rPr>
        <w:t>36</w:t>
      </w:r>
      <w:r>
        <w:rPr>
          <w:rFonts w:ascii="方正小标宋简体" w:eastAsia="方正小标宋简体" w:hint="eastAsia"/>
          <w:sz w:val="30"/>
          <w:szCs w:val="30"/>
        </w:rPr>
        <w:t>项）</w:t>
      </w:r>
    </w:p>
    <w:p w:rsidR="00593A5C" w:rsidRDefault="00593A5C"/>
    <w:tbl>
      <w:tblPr>
        <w:tblStyle w:val="a3"/>
        <w:tblW w:w="12300" w:type="dxa"/>
        <w:tblInd w:w="948" w:type="dxa"/>
        <w:tblLayout w:type="fixed"/>
        <w:tblLook w:val="04A0" w:firstRow="1" w:lastRow="0" w:firstColumn="1" w:lastColumn="0" w:noHBand="0" w:noVBand="1"/>
      </w:tblPr>
      <w:tblGrid>
        <w:gridCol w:w="825"/>
        <w:gridCol w:w="7725"/>
        <w:gridCol w:w="1232"/>
        <w:gridCol w:w="2518"/>
      </w:tblGrid>
      <w:tr w:rsidR="00593A5C">
        <w:tc>
          <w:tcPr>
            <w:tcW w:w="825" w:type="dxa"/>
          </w:tcPr>
          <w:p w:rsidR="00593A5C" w:rsidRDefault="00FB74E1">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7725" w:type="dxa"/>
            <w:vAlign w:val="center"/>
          </w:tcPr>
          <w:p w:rsidR="00593A5C" w:rsidRDefault="00FB74E1">
            <w:pPr>
              <w:jc w:val="center"/>
              <w:rPr>
                <w:rFonts w:asciiTheme="minorEastAsia" w:hAnsiTheme="minorEastAsia" w:cstheme="minorEastAsia"/>
                <w:b/>
                <w:sz w:val="24"/>
                <w:szCs w:val="24"/>
              </w:rPr>
            </w:pPr>
            <w:r>
              <w:rPr>
                <w:rFonts w:asciiTheme="minorEastAsia" w:hAnsiTheme="minorEastAsia" w:cstheme="minorEastAsia" w:hint="eastAsia"/>
                <w:b/>
                <w:sz w:val="24"/>
                <w:szCs w:val="24"/>
              </w:rPr>
              <w:t>课题名称</w:t>
            </w:r>
          </w:p>
        </w:tc>
        <w:tc>
          <w:tcPr>
            <w:tcW w:w="1232" w:type="dxa"/>
            <w:vAlign w:val="center"/>
          </w:tcPr>
          <w:p w:rsidR="00593A5C" w:rsidRDefault="00FB74E1">
            <w:pPr>
              <w:jc w:val="center"/>
              <w:rPr>
                <w:rFonts w:asciiTheme="minorEastAsia" w:hAnsiTheme="minorEastAsia" w:cstheme="minorEastAsia"/>
                <w:b/>
                <w:sz w:val="24"/>
                <w:szCs w:val="24"/>
              </w:rPr>
            </w:pPr>
            <w:r>
              <w:rPr>
                <w:rFonts w:asciiTheme="minorEastAsia" w:hAnsiTheme="minorEastAsia" w:cstheme="minorEastAsia" w:hint="eastAsia"/>
                <w:b/>
                <w:sz w:val="24"/>
                <w:szCs w:val="24"/>
              </w:rPr>
              <w:t>申请人</w:t>
            </w:r>
          </w:p>
        </w:tc>
        <w:tc>
          <w:tcPr>
            <w:tcW w:w="2518"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b/>
                <w:sz w:val="24"/>
                <w:szCs w:val="24"/>
              </w:rPr>
              <w:t>部门</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双重维度：思想建党和制度治党融合互动研究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冯兵</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马克思主义学院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全面从严治党中的家风建设研究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proofErr w:type="gramStart"/>
            <w:r>
              <w:rPr>
                <w:rFonts w:asciiTheme="minorEastAsia" w:hAnsiTheme="minorEastAsia" w:cstheme="minorEastAsia" w:hint="eastAsia"/>
                <w:color w:val="000000"/>
                <w:kern w:val="0"/>
                <w:sz w:val="24"/>
                <w:szCs w:val="24"/>
                <w:lang w:bidi="ar"/>
              </w:rPr>
              <w:t>陈乐香</w:t>
            </w:r>
            <w:proofErr w:type="gramEnd"/>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马克思主义学院</w:t>
            </w:r>
          </w:p>
        </w:tc>
      </w:tr>
      <w:tr w:rsidR="00593A5C">
        <w:trPr>
          <w:trHeight w:val="292"/>
        </w:trPr>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sz w:val="24"/>
                <w:szCs w:val="24"/>
              </w:rPr>
              <w:t>新常态：十八大以来全面从严治党的理论逻辑与现实路径研究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付志刚</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马克思主义学院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依规治党背景下党员品格培养研究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李敏</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马克思主义学院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以全面从严治党推进高校从严治学对策研究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薛一飞</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马克思主义学院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全面从严治党的政治伦理价值旨</w:t>
            </w:r>
            <w:proofErr w:type="gramStart"/>
            <w:r>
              <w:rPr>
                <w:rFonts w:asciiTheme="minorEastAsia" w:hAnsiTheme="minorEastAsia" w:cstheme="minorEastAsia" w:hint="eastAsia"/>
                <w:color w:val="000000"/>
                <w:kern w:val="0"/>
                <w:sz w:val="24"/>
                <w:szCs w:val="24"/>
                <w:lang w:bidi="ar"/>
              </w:rPr>
              <w:t>向研究</w:t>
            </w:r>
            <w:proofErr w:type="gramEnd"/>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邢海晶</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马克思主义学院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党内政治生活“四性”原则融入思想政治理论课教学全过程研究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羊</w:t>
            </w:r>
            <w:proofErr w:type="gramStart"/>
            <w:r>
              <w:rPr>
                <w:rFonts w:asciiTheme="minorEastAsia" w:hAnsiTheme="minorEastAsia" w:cstheme="minorEastAsia" w:hint="eastAsia"/>
                <w:color w:val="000000"/>
                <w:kern w:val="0"/>
                <w:sz w:val="24"/>
                <w:szCs w:val="24"/>
                <w:lang w:bidi="ar"/>
              </w:rPr>
              <w:t>绍</w:t>
            </w:r>
            <w:proofErr w:type="gramEnd"/>
            <w:r>
              <w:rPr>
                <w:rFonts w:asciiTheme="minorEastAsia" w:hAnsiTheme="minorEastAsia" w:cstheme="minorEastAsia" w:hint="eastAsia"/>
                <w:color w:val="000000"/>
                <w:kern w:val="0"/>
                <w:sz w:val="24"/>
                <w:szCs w:val="24"/>
                <w:lang w:bidi="ar"/>
              </w:rPr>
              <w:t>武</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马克思主义学院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中华优秀传统孝文化对党员干部为官从政的价值启示</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proofErr w:type="gramStart"/>
            <w:r>
              <w:rPr>
                <w:rFonts w:asciiTheme="minorEastAsia" w:hAnsiTheme="minorEastAsia" w:cstheme="minorEastAsia" w:hint="eastAsia"/>
                <w:color w:val="000000"/>
                <w:kern w:val="0"/>
                <w:sz w:val="24"/>
                <w:szCs w:val="24"/>
                <w:lang w:bidi="ar"/>
              </w:rPr>
              <w:t>申圣超</w:t>
            </w:r>
            <w:proofErr w:type="gramEnd"/>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马克思主义学院</w:t>
            </w:r>
          </w:p>
        </w:tc>
      </w:tr>
      <w:tr w:rsidR="00593A5C">
        <w:tc>
          <w:tcPr>
            <w:tcW w:w="825" w:type="dxa"/>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9</w:t>
            </w:r>
          </w:p>
        </w:tc>
        <w:tc>
          <w:tcPr>
            <w:tcW w:w="7725" w:type="dxa"/>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全面从严治党应加强的六种意识</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陈梅芳</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马克思主义学院</w:t>
            </w:r>
          </w:p>
        </w:tc>
      </w:tr>
      <w:tr w:rsidR="00593A5C">
        <w:tc>
          <w:tcPr>
            <w:tcW w:w="825" w:type="dxa"/>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7725" w:type="dxa"/>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十八届六中全会习近</w:t>
            </w:r>
            <w:proofErr w:type="gramStart"/>
            <w:r>
              <w:rPr>
                <w:rFonts w:asciiTheme="minorEastAsia" w:hAnsiTheme="minorEastAsia" w:cstheme="minorEastAsia" w:hint="eastAsia"/>
                <w:color w:val="000000"/>
                <w:kern w:val="0"/>
                <w:sz w:val="24"/>
                <w:szCs w:val="24"/>
                <w:lang w:bidi="ar"/>
              </w:rPr>
              <w:t>平领导</w:t>
            </w:r>
            <w:proofErr w:type="gramEnd"/>
            <w:r>
              <w:rPr>
                <w:rFonts w:asciiTheme="minorEastAsia" w:hAnsiTheme="minorEastAsia" w:cstheme="minorEastAsia" w:hint="eastAsia"/>
                <w:color w:val="000000"/>
                <w:kern w:val="0"/>
                <w:sz w:val="24"/>
                <w:szCs w:val="24"/>
                <w:lang w:bidi="ar"/>
              </w:rPr>
              <w:t>核心确立与马克思主义中国化研究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陈加飞</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马克思主义学院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11</w:t>
            </w:r>
          </w:p>
        </w:tc>
        <w:tc>
          <w:tcPr>
            <w:tcW w:w="7725" w:type="dxa"/>
            <w:vAlign w:val="center"/>
          </w:tcPr>
          <w:p w:rsidR="00593A5C" w:rsidRDefault="00FB74E1">
            <w:pPr>
              <w:widowControl/>
              <w:jc w:val="left"/>
              <w:textAlignment w:val="top"/>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新时期高校党内监督长效机制建设研究</w:t>
            </w:r>
          </w:p>
        </w:tc>
        <w:tc>
          <w:tcPr>
            <w:tcW w:w="1232" w:type="dxa"/>
            <w:vAlign w:val="center"/>
          </w:tcPr>
          <w:p w:rsidR="00593A5C" w:rsidRDefault="00FB74E1">
            <w:pPr>
              <w:widowControl/>
              <w:jc w:val="center"/>
              <w:textAlignment w:val="top"/>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曹勇明</w:t>
            </w:r>
          </w:p>
        </w:tc>
        <w:tc>
          <w:tcPr>
            <w:tcW w:w="2518" w:type="dxa"/>
            <w:vAlign w:val="center"/>
          </w:tcPr>
          <w:p w:rsidR="00593A5C" w:rsidRDefault="00FB74E1">
            <w:pPr>
              <w:widowControl/>
              <w:jc w:val="center"/>
              <w:textAlignment w:val="top"/>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党委办公室</w:t>
            </w:r>
          </w:p>
        </w:tc>
      </w:tr>
      <w:tr w:rsidR="00593A5C">
        <w:tc>
          <w:tcPr>
            <w:tcW w:w="825" w:type="dxa"/>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12</w:t>
            </w:r>
          </w:p>
        </w:tc>
        <w:tc>
          <w:tcPr>
            <w:tcW w:w="7725" w:type="dxa"/>
          </w:tcPr>
          <w:p w:rsidR="00593A5C" w:rsidRDefault="00FB74E1">
            <w:pPr>
              <w:widowControl/>
              <w:jc w:val="left"/>
              <w:textAlignment w:val="top"/>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中国共产党巡视制度的历史演进与现实路径</w:t>
            </w:r>
          </w:p>
        </w:tc>
        <w:tc>
          <w:tcPr>
            <w:tcW w:w="1232" w:type="dxa"/>
            <w:vAlign w:val="center"/>
          </w:tcPr>
          <w:p w:rsidR="00593A5C" w:rsidRDefault="00FB74E1">
            <w:pPr>
              <w:widowControl/>
              <w:jc w:val="center"/>
              <w:textAlignment w:val="top"/>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郭立琼</w:t>
            </w:r>
          </w:p>
        </w:tc>
        <w:tc>
          <w:tcPr>
            <w:tcW w:w="2518" w:type="dxa"/>
            <w:vAlign w:val="center"/>
          </w:tcPr>
          <w:p w:rsidR="00593A5C" w:rsidRDefault="00FB74E1">
            <w:pPr>
              <w:widowControl/>
              <w:jc w:val="center"/>
              <w:textAlignment w:val="top"/>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纪委办公室</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13</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论“四个意识”对高校新闻工作的指导意义</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应厚非</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党委宣传部</w:t>
            </w:r>
          </w:p>
        </w:tc>
      </w:tr>
      <w:tr w:rsidR="00593A5C">
        <w:trPr>
          <w:trHeight w:val="280"/>
        </w:trPr>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14</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全面从严治党视域下高校党建工作的问题透视与创新路径研究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赵淑亮</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党委宣传部</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15</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从视觉艺术多元化角度拓展高校“四个意识”宣传教育途径</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肖杰</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校长办公室</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16</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坚定理想信念</w:t>
            </w:r>
            <w:r>
              <w:rPr>
                <w:rFonts w:asciiTheme="minorEastAsia" w:hAnsiTheme="minorEastAsia" w:cstheme="minorEastAsia" w:hint="eastAsia"/>
                <w:color w:val="000000"/>
                <w:kern w:val="0"/>
                <w:sz w:val="24"/>
                <w:szCs w:val="24"/>
                <w:lang w:bidi="ar"/>
              </w:rPr>
              <w:t xml:space="preserve"> </w:t>
            </w:r>
            <w:r>
              <w:rPr>
                <w:rFonts w:asciiTheme="minorEastAsia" w:hAnsiTheme="minorEastAsia" w:cstheme="minorEastAsia" w:hint="eastAsia"/>
                <w:color w:val="000000"/>
                <w:kern w:val="0"/>
                <w:sz w:val="24"/>
                <w:szCs w:val="24"/>
                <w:lang w:bidi="ar"/>
              </w:rPr>
              <w:t>坚持精神追求——高校教职工理想信念教育路径探析</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陈薇</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校长办公室</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17</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从严治党视域下学生党员教育管理机制研究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proofErr w:type="gramStart"/>
            <w:r>
              <w:rPr>
                <w:rFonts w:asciiTheme="minorEastAsia" w:hAnsiTheme="minorEastAsia" w:cstheme="minorEastAsia" w:hint="eastAsia"/>
                <w:color w:val="000000"/>
                <w:kern w:val="0"/>
                <w:sz w:val="24"/>
                <w:szCs w:val="24"/>
                <w:lang w:bidi="ar"/>
              </w:rPr>
              <w:t>白宝芬</w:t>
            </w:r>
            <w:proofErr w:type="gramEnd"/>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学工部</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18</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在培育社会主义核心价值观视域下党员干部</w:t>
            </w:r>
            <w:proofErr w:type="gramStart"/>
            <w:r>
              <w:rPr>
                <w:rFonts w:asciiTheme="minorEastAsia" w:hAnsiTheme="minorEastAsia" w:cstheme="minorEastAsia" w:hint="eastAsia"/>
                <w:color w:val="000000"/>
                <w:kern w:val="0"/>
                <w:sz w:val="24"/>
                <w:szCs w:val="24"/>
                <w:lang w:bidi="ar"/>
              </w:rPr>
              <w:t>践行</w:t>
            </w:r>
            <w:proofErr w:type="gramEnd"/>
            <w:r>
              <w:rPr>
                <w:rFonts w:asciiTheme="minorEastAsia" w:hAnsiTheme="minorEastAsia" w:cstheme="minorEastAsia" w:hint="eastAsia"/>
                <w:color w:val="000000"/>
                <w:kern w:val="0"/>
                <w:sz w:val="24"/>
                <w:szCs w:val="24"/>
                <w:lang w:bidi="ar"/>
              </w:rPr>
              <w:t>“四讲”对高校学术诚信教育的启示</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李侠</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proofErr w:type="gramStart"/>
            <w:r>
              <w:rPr>
                <w:rFonts w:asciiTheme="minorEastAsia" w:hAnsiTheme="minorEastAsia" w:cstheme="minorEastAsia" w:hint="eastAsia"/>
                <w:color w:val="000000"/>
                <w:kern w:val="0"/>
                <w:sz w:val="24"/>
                <w:szCs w:val="24"/>
                <w:lang w:bidi="ar"/>
              </w:rPr>
              <w:t>研</w:t>
            </w:r>
            <w:proofErr w:type="gramEnd"/>
            <w:r>
              <w:rPr>
                <w:rFonts w:asciiTheme="minorEastAsia" w:hAnsiTheme="minorEastAsia" w:cstheme="minorEastAsia" w:hint="eastAsia"/>
                <w:color w:val="000000"/>
                <w:kern w:val="0"/>
                <w:sz w:val="24"/>
                <w:szCs w:val="24"/>
                <w:lang w:bidi="ar"/>
              </w:rPr>
              <w:t>工部</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19</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全面从严治党的实践效能提升研究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徐海军</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后勤管理处</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五大发展理念视角下教学管理人员政治素质和业务能力提升研究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张同修</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教务处</w:t>
            </w:r>
          </w:p>
        </w:tc>
      </w:tr>
      <w:tr w:rsidR="00593A5C">
        <w:trPr>
          <w:trHeight w:val="90"/>
        </w:trPr>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21</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加强和规范基层党组织党内政治生活推动高校安全稳定工作的实践研究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李锟</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保卫处</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22</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以“四个意识”推动新时期高校校友会组织建设研究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徐慧媛</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外联办</w:t>
            </w:r>
          </w:p>
        </w:tc>
      </w:tr>
      <w:tr w:rsidR="00593A5C">
        <w:tc>
          <w:tcPr>
            <w:tcW w:w="825" w:type="dxa"/>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23</w:t>
            </w:r>
          </w:p>
        </w:tc>
        <w:tc>
          <w:tcPr>
            <w:tcW w:w="7725" w:type="dxa"/>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高校基层党支部优秀学生党员先进典型宣传体系构建研究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proofErr w:type="gramStart"/>
            <w:r>
              <w:rPr>
                <w:rFonts w:asciiTheme="minorEastAsia" w:hAnsiTheme="minorEastAsia" w:cstheme="minorEastAsia" w:hint="eastAsia"/>
                <w:color w:val="000000"/>
                <w:kern w:val="0"/>
                <w:sz w:val="24"/>
                <w:szCs w:val="24"/>
                <w:lang w:bidi="ar"/>
              </w:rPr>
              <w:t>黎红友</w:t>
            </w:r>
            <w:proofErr w:type="gramEnd"/>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计算机学院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24</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高校研究生党支部组织生活质量保障体系构建研究——以四川大学为例</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陈宇</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计算机学院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25</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从严治党、依规治党对高校学生党员思想教育管理机制的研究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兰中仁</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建筑与环境学院</w:t>
            </w:r>
          </w:p>
        </w:tc>
      </w:tr>
      <w:tr w:rsidR="00593A5C">
        <w:tc>
          <w:tcPr>
            <w:tcW w:w="825" w:type="dxa"/>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26</w:t>
            </w:r>
          </w:p>
        </w:tc>
        <w:tc>
          <w:tcPr>
            <w:tcW w:w="7725" w:type="dxa"/>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从严治党与边疆治理：基于毛泽东和习近平的治</w:t>
            </w:r>
            <w:proofErr w:type="gramStart"/>
            <w:r>
              <w:rPr>
                <w:rFonts w:asciiTheme="minorEastAsia" w:hAnsiTheme="minorEastAsia" w:cstheme="minorEastAsia" w:hint="eastAsia"/>
                <w:color w:val="000000"/>
                <w:kern w:val="0"/>
                <w:sz w:val="24"/>
                <w:szCs w:val="24"/>
                <w:lang w:bidi="ar"/>
              </w:rPr>
              <w:t>藏思想</w:t>
            </w:r>
            <w:proofErr w:type="gramEnd"/>
            <w:r>
              <w:rPr>
                <w:rFonts w:asciiTheme="minorEastAsia" w:hAnsiTheme="minorEastAsia" w:cstheme="minorEastAsia" w:hint="eastAsia"/>
                <w:color w:val="000000"/>
                <w:kern w:val="0"/>
                <w:sz w:val="24"/>
                <w:szCs w:val="24"/>
                <w:lang w:bidi="ar"/>
              </w:rPr>
              <w:t>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赵毅</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外国语学院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27</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严肃认真开展党内政治生活——严格规范高校大学生党员发展程序</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赵梓丞</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建筑与环境学院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28</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监察体制改革与完善的历史借鉴</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刘昕杰</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法学院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29</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高校二级纪委的监督作用发挥的研究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廖爱民</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生命学院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30</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党的“四自能力”理论研究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罗梅</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文新学院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31</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自媒体时代大学生政治意识及政治认同问题研究——以四川大学为例</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韩芳</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电气信息学院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32</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探索加强高校教师党内政治生活的新方式</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邓丽华</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电气信息学院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33</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全面从严治党背景下高校二级单位纪检监察工作有效性研究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高敏</w:t>
            </w:r>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化工学院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34</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以十八届六中全会为契机，健全学生创业指导服务体系，大力推进大学生创新创业教育</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proofErr w:type="gramStart"/>
            <w:r>
              <w:rPr>
                <w:rFonts w:asciiTheme="minorEastAsia" w:hAnsiTheme="minorEastAsia" w:cstheme="minorEastAsia" w:hint="eastAsia"/>
                <w:color w:val="000000"/>
                <w:kern w:val="0"/>
                <w:sz w:val="24"/>
                <w:szCs w:val="24"/>
                <w:lang w:bidi="ar"/>
              </w:rPr>
              <w:t>姜利寒</w:t>
            </w:r>
            <w:proofErr w:type="gramEnd"/>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化工学院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35</w:t>
            </w:r>
          </w:p>
        </w:tc>
        <w:tc>
          <w:tcPr>
            <w:tcW w:w="7725" w:type="dxa"/>
            <w:vAlign w:val="center"/>
          </w:tcPr>
          <w:p w:rsidR="00593A5C" w:rsidRDefault="00FB74E1">
            <w:pPr>
              <w:widowControl/>
              <w:jc w:val="left"/>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新形势下高校基层党支部建设考评及质量提升研究</w:t>
            </w:r>
          </w:p>
        </w:tc>
        <w:tc>
          <w:tcPr>
            <w:tcW w:w="1232" w:type="dxa"/>
            <w:vAlign w:val="center"/>
          </w:tcPr>
          <w:p w:rsidR="00593A5C" w:rsidRDefault="00FB74E1">
            <w:pPr>
              <w:widowControl/>
              <w:jc w:val="center"/>
              <w:textAlignment w:val="top"/>
              <w:rPr>
                <w:rFonts w:asciiTheme="minorEastAsia" w:hAnsiTheme="minorEastAsia" w:cstheme="minorEastAsia"/>
                <w:sz w:val="24"/>
                <w:szCs w:val="24"/>
              </w:rPr>
            </w:pPr>
            <w:proofErr w:type="gramStart"/>
            <w:r>
              <w:rPr>
                <w:rFonts w:asciiTheme="minorEastAsia" w:hAnsiTheme="minorEastAsia" w:cstheme="minorEastAsia" w:hint="eastAsia"/>
                <w:color w:val="000000"/>
                <w:kern w:val="0"/>
                <w:sz w:val="24"/>
                <w:szCs w:val="24"/>
                <w:lang w:bidi="ar"/>
              </w:rPr>
              <w:t>陈启胜</w:t>
            </w:r>
            <w:proofErr w:type="gramEnd"/>
          </w:p>
        </w:tc>
        <w:tc>
          <w:tcPr>
            <w:tcW w:w="2518" w:type="dxa"/>
            <w:vAlign w:val="center"/>
          </w:tcPr>
          <w:p w:rsidR="00593A5C" w:rsidRDefault="00FB74E1">
            <w:pPr>
              <w:widowControl/>
              <w:jc w:val="center"/>
              <w:textAlignment w:val="top"/>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商学院</w:t>
            </w:r>
          </w:p>
        </w:tc>
      </w:tr>
      <w:tr w:rsidR="00593A5C">
        <w:tc>
          <w:tcPr>
            <w:tcW w:w="825" w:type="dxa"/>
            <w:vAlign w:val="center"/>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36</w:t>
            </w:r>
          </w:p>
        </w:tc>
        <w:tc>
          <w:tcPr>
            <w:tcW w:w="7725" w:type="dxa"/>
          </w:tcPr>
          <w:p w:rsidR="00593A5C" w:rsidRDefault="00FB74E1">
            <w:pPr>
              <w:jc w:val="left"/>
              <w:rPr>
                <w:rFonts w:asciiTheme="minorEastAsia" w:hAnsiTheme="minorEastAsia" w:cstheme="minorEastAsia"/>
                <w:sz w:val="24"/>
                <w:szCs w:val="24"/>
              </w:rPr>
            </w:pPr>
            <w:r>
              <w:rPr>
                <w:rFonts w:asciiTheme="minorEastAsia" w:hAnsiTheme="minorEastAsia" w:cstheme="minorEastAsia" w:hint="eastAsia"/>
                <w:sz w:val="24"/>
                <w:szCs w:val="24"/>
              </w:rPr>
              <w:t>研究型大学基层教职工支部党建工作创新研究</w:t>
            </w:r>
          </w:p>
        </w:tc>
        <w:tc>
          <w:tcPr>
            <w:tcW w:w="1232" w:type="dxa"/>
          </w:tcPr>
          <w:p w:rsidR="00593A5C" w:rsidRDefault="00FB74E1">
            <w:pPr>
              <w:jc w:val="center"/>
              <w:rPr>
                <w:rFonts w:asciiTheme="minorEastAsia" w:hAnsiTheme="minorEastAsia" w:cstheme="minorEastAsia"/>
                <w:sz w:val="24"/>
                <w:szCs w:val="24"/>
              </w:rPr>
            </w:pPr>
            <w:proofErr w:type="gramStart"/>
            <w:r>
              <w:rPr>
                <w:rFonts w:asciiTheme="minorEastAsia" w:hAnsiTheme="minorEastAsia" w:cstheme="minorEastAsia" w:hint="eastAsia"/>
                <w:sz w:val="24"/>
                <w:szCs w:val="24"/>
              </w:rPr>
              <w:t>李建艳</w:t>
            </w:r>
            <w:proofErr w:type="gramEnd"/>
          </w:p>
        </w:tc>
        <w:tc>
          <w:tcPr>
            <w:tcW w:w="2518" w:type="dxa"/>
          </w:tcPr>
          <w:p w:rsidR="00593A5C" w:rsidRDefault="00FB74E1">
            <w:pPr>
              <w:jc w:val="center"/>
              <w:rPr>
                <w:rFonts w:asciiTheme="minorEastAsia" w:hAnsiTheme="minorEastAsia" w:cstheme="minorEastAsia"/>
                <w:sz w:val="24"/>
                <w:szCs w:val="24"/>
              </w:rPr>
            </w:pPr>
            <w:r>
              <w:rPr>
                <w:rFonts w:asciiTheme="minorEastAsia" w:hAnsiTheme="minorEastAsia" w:cstheme="minorEastAsia" w:hint="eastAsia"/>
                <w:sz w:val="24"/>
                <w:szCs w:val="24"/>
              </w:rPr>
              <w:t>历史文化学院</w:t>
            </w:r>
          </w:p>
        </w:tc>
      </w:tr>
    </w:tbl>
    <w:p w:rsidR="00593A5C" w:rsidRDefault="00593A5C"/>
    <w:p w:rsidR="00593A5C" w:rsidRDefault="00593A5C"/>
    <w:sectPr w:rsidR="00593A5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AF6E"/>
    <w:multiLevelType w:val="singleLevel"/>
    <w:tmpl w:val="58ABAF6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65"/>
    <w:rsid w:val="00537D24"/>
    <w:rsid w:val="00593A5C"/>
    <w:rsid w:val="005C16B9"/>
    <w:rsid w:val="00791FFD"/>
    <w:rsid w:val="00FB74E1"/>
    <w:rsid w:val="00FD1F65"/>
    <w:rsid w:val="025C2FF6"/>
    <w:rsid w:val="03804319"/>
    <w:rsid w:val="043F2E7A"/>
    <w:rsid w:val="0BE55265"/>
    <w:rsid w:val="10D4366F"/>
    <w:rsid w:val="11E62FF6"/>
    <w:rsid w:val="181833C4"/>
    <w:rsid w:val="1C340299"/>
    <w:rsid w:val="25725B8F"/>
    <w:rsid w:val="260E31CE"/>
    <w:rsid w:val="2A294A64"/>
    <w:rsid w:val="2EAB5A1A"/>
    <w:rsid w:val="35725439"/>
    <w:rsid w:val="3862138F"/>
    <w:rsid w:val="38984961"/>
    <w:rsid w:val="3C075DB5"/>
    <w:rsid w:val="3FA21FE8"/>
    <w:rsid w:val="46EE1608"/>
    <w:rsid w:val="4D7E7357"/>
    <w:rsid w:val="60747446"/>
    <w:rsid w:val="6166002A"/>
    <w:rsid w:val="6695496B"/>
    <w:rsid w:val="78AC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DF94E-201B-43B4-8AC1-78B623C3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274</Words>
  <Characters>1564</Characters>
  <Application>Microsoft Office Word</Application>
  <DocSecurity>0</DocSecurity>
  <Lines>13</Lines>
  <Paragraphs>3</Paragraphs>
  <ScaleCrop>false</ScaleCrop>
  <Company>Sky123.Org</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2017-01-17T01:24:00Z</cp:lastPrinted>
  <dcterms:created xsi:type="dcterms:W3CDTF">2016-12-20T09:22:00Z</dcterms:created>
  <dcterms:modified xsi:type="dcterms:W3CDTF">2017-02-24T04:31:00Z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